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7490"/>
          <w:sz w:val="22"/>
        </w:rPr>
        <w:t>MG CYBER</w:t>
      </w:r>
    </w:p>
    <w:p>
      <w:r>
        <w:rPr>
          <w:b/>
          <w:color w:val="0B1220"/>
          <w:sz w:val="56"/>
        </w:rPr>
        <w:t>Rapport d'analyse de risques</w:t>
      </w:r>
    </w:p>
    <w:p>
      <w:r>
        <w:rPr>
          <w:color w:val="4A5A70"/>
          <w:sz w:val="26"/>
        </w:rPr>
        <w:t>Sécurité de l'information · démarche ISO/IEC 27005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Organisation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Périmètre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4873"/>
          </w:tcPr>
          <w:p>
            <w:r>
              <w:t>1.0</w:t>
            </w:r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Rédigé par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Approuvé par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Classification</w:t>
            </w:r>
          </w:p>
        </w:tc>
        <w:tc>
          <w:tcPr>
            <w:tcW w:type="dxa" w:w="4873"/>
          </w:tcPr>
          <w:p>
            <w:r>
              <w:t>Confidentiel</w:t>
            </w:r>
          </w:p>
        </w:tc>
      </w:tr>
    </w:tbl>
    <w:p/>
    <w:p>
      <w:r>
        <w:rPr>
          <w:i/>
          <w:color w:val="4A5A70"/>
          <w:sz w:val="17"/>
        </w:rPr>
        <w:t>Cet outil suit la démarche des normes ISO/IEC 27001:2022 et ISO/IEC 27005:2022 sans en reproduire le texte, protégé par le droit d'auteur. Seuls les numéros de mesures sont cités ; les intitulés et explications sont des reformulations. Le texte officiel est disponible auprès de l'ISO ou de l'AFNOR.</w:t>
      </w:r>
    </w:p>
    <w:p>
      <w:r>
        <w:br w:type="page"/>
      </w:r>
    </w:p>
    <w:p>
      <w:pPr>
        <w:pStyle w:val="Heading1"/>
      </w:pPr>
      <w:r>
        <w:t>1. Objet et périmètre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Expliquez en quelques lignes pourquoi cette analyse est réalisée (certification, nouveau projet, revue annuelle…) et ce qu'elle couvre : sites, activités, systèmes, prestataires. Indiquez aussi ce qui est exclu et pourquoi.</w:t>
      </w:r>
    </w:p>
    <w:p>
      <w:pPr>
        <w:pStyle w:val="Heading1"/>
      </w:pPr>
      <w:r>
        <w:t>2. Méthode et critères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Présentez la démarche suivie et les échelles utilisées. Les tableaux ci-dessous reprennent les échelles de l'outil MG CYBER ; adaptez-les si besoin, mais gardez les mêmes pendant toute l'analyse.</w:t>
      </w:r>
    </w:p>
    <w:p>
      <w:pPr>
        <w:pStyle w:val="Heading2"/>
      </w:pPr>
      <w:r>
        <w:t>Vraisemblance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Valeur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Libellé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Signification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Rare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Peut arriver dans des circonstances exceptionnelles (moins d'une fois en 10 ans).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Possible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Pourrait arriver (environ une fois en 3 à 10 ans).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Probable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Arrivera probablement (environ une fois par an).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Quasi certain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Arrive ou arrivera plusieurs fois par an.</w:t>
            </w:r>
          </w:p>
        </w:tc>
      </w:tr>
    </w:tbl>
    <w:p/>
    <w:p>
      <w:pPr>
        <w:pStyle w:val="Heading2"/>
      </w:pPr>
      <w:r>
        <w:t>Impact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Valeur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Libellé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Signification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Mineur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Gêne limitée, sans effet visible pour les clients. Coût négligeable.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Significatif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Perturbation de quelques heures, quelques clients touchés, coût maîtrisé.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Grave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Arrêt d'une activité clé pendant plusieurs jours, plainte ou sanction possible, atteinte à l'image.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Critique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Survie de l'entreprise menacée : arrêt prolongé, lourde sanction, perte majeure de clients.</w:t>
            </w:r>
          </w:p>
        </w:tc>
      </w:tr>
    </w:tbl>
    <w:p/>
    <w:p>
      <w:pPr>
        <w:pStyle w:val="Heading2"/>
      </w:pPr>
      <w:r>
        <w:t>Niveaux de risque (vraisemblance × impact)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4873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Plage</w:t>
            </w:r>
          </w:p>
        </w:tc>
      </w:tr>
      <w:tr>
        <w:tc>
          <w:tcPr>
            <w:tcW w:type="dxa" w:w="4873"/>
            <w:shd w:val="clear" w:color="auto" w:fill="D5F3E4"/>
          </w:tcPr>
          <w:p>
            <w:r>
              <w:rPr>
                <w:sz w:val="19"/>
              </w:rPr>
              <w:t>Faible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1 – 3</w:t>
            </w:r>
          </w:p>
        </w:tc>
      </w:tr>
      <w:tr>
        <w:tc>
          <w:tcPr>
            <w:tcW w:type="dxa" w:w="4873"/>
            <w:shd w:val="clear" w:color="auto" w:fill="FEF3C7"/>
          </w:tcPr>
          <w:p>
            <w:r>
              <w:rPr>
                <w:sz w:val="19"/>
              </w:rPr>
              <w:t>Modéré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4 – 6</w:t>
            </w:r>
          </w:p>
        </w:tc>
      </w:tr>
      <w:tr>
        <w:tc>
          <w:tcPr>
            <w:tcW w:type="dxa" w:w="4873"/>
            <w:shd w:val="clear" w:color="auto" w:fill="FED7AA"/>
          </w:tcPr>
          <w:p>
            <w:r>
              <w:rPr>
                <w:sz w:val="19"/>
              </w:rPr>
              <w:t>Élevé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8 – 9</w:t>
            </w:r>
          </w:p>
        </w:tc>
      </w:tr>
      <w:tr>
        <w:tc>
          <w:tcPr>
            <w:tcW w:type="dxa" w:w="4873"/>
            <w:shd w:val="clear" w:color="auto" w:fill="FECACA"/>
          </w:tcPr>
          <w:p>
            <w:r>
              <w:rPr>
                <w:sz w:val="19"/>
              </w:rPr>
              <w:t>Critique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12 – 16</w:t>
            </w:r>
          </w:p>
        </w:tc>
      </w:tr>
    </w:tbl>
    <w:p/>
    <w:p>
      <w:r>
        <w:t>Seuil d'acceptation (niveau maximal accepté) : ______</w:t>
      </w:r>
    </w:p>
    <w:p>
      <w:pPr>
        <w:pStyle w:val="Heading1"/>
      </w:pPr>
      <w:r>
        <w:t>3. Parties prenantes et exigences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Listez les parties intéressées (clients, autorités, actionnaires, salariés, prestataires) et leurs attentes en sécurité : lois et règlements (RGPD, NIS2, DORA…), contrats, engagements.</w:t>
      </w:r>
    </w:p>
    <w:p>
      <w:pPr>
        <w:pStyle w:val="Heading1"/>
      </w:pPr>
      <w:r>
        <w:t>4. Actifs étudiés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Reprenez la liste des actifs de l'onglet Actifs, avec leur responsable.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Actif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Type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Responsable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pPr>
        <w:pStyle w:val="Heading1"/>
      </w:pPr>
      <w:r>
        <w:t>5. Scénarios de risque et évaluation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Reprenez les scénarios du registre avec leur vraisemblance, leur impact et leur niveau. Commentez les trois à cinq risques les plus élevés.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Scénario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Actif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Vraisemblance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Niveau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pStyle w:val="Heading1"/>
      </w:pPr>
      <w:r>
        <w:t>6. Synthèse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Insérez ou recopiez la matrice des risques avant et après traitement. Résumez en quelques phrases les enseignements principaux pour la direction.</w:t>
      </w:r>
    </w:p>
    <w:p>
      <w:pPr>
        <w:pStyle w:val="Heading2"/>
      </w:pPr>
      <w:r>
        <w:t>Avant traitement (nombre de risques)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4 · Critique</w:t>
            </w:r>
          </w:p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3 · Grave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2 · Significatif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</w:tr>
      <w:tr>
        <w:tc>
          <w:tcPr>
            <w:tcW w:type="dxa" w:w="1949"/>
          </w:tcPr>
          <w:p>
            <w:r>
              <w:t>1 · Mineur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>
            <w:r>
              <w:t>1 · Rare</w:t>
            </w:r>
          </w:p>
        </w:tc>
        <w:tc>
          <w:tcPr>
            <w:tcW w:type="dxa" w:w="1949"/>
          </w:tcPr>
          <w:p>
            <w:r>
              <w:t>2 · Possible</w:t>
            </w:r>
          </w:p>
        </w:tc>
        <w:tc>
          <w:tcPr>
            <w:tcW w:type="dxa" w:w="1949"/>
          </w:tcPr>
          <w:p>
            <w:r>
              <w:t>3 · Probable</w:t>
            </w:r>
          </w:p>
        </w:tc>
        <w:tc>
          <w:tcPr>
            <w:tcW w:type="dxa" w:w="1949"/>
          </w:tcPr>
          <w:p>
            <w:r>
              <w:t>4 · Quasi certain</w:t>
            </w:r>
          </w:p>
        </w:tc>
      </w:tr>
    </w:tbl>
    <w:p/>
    <w:p>
      <w:pPr>
        <w:pStyle w:val="Heading2"/>
      </w:pPr>
      <w:r>
        <w:t>Après traitement (nombre de risques)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4 · Critique</w:t>
            </w:r>
          </w:p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3 · Grave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2 · Significatif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</w:tr>
      <w:tr>
        <w:tc>
          <w:tcPr>
            <w:tcW w:type="dxa" w:w="1949"/>
          </w:tcPr>
          <w:p>
            <w:r>
              <w:t>1 · Mineur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>
            <w:r>
              <w:t>1 · Rare</w:t>
            </w:r>
          </w:p>
        </w:tc>
        <w:tc>
          <w:tcPr>
            <w:tcW w:type="dxa" w:w="1949"/>
          </w:tcPr>
          <w:p>
            <w:r>
              <w:t>2 · Possible</w:t>
            </w:r>
          </w:p>
        </w:tc>
        <w:tc>
          <w:tcPr>
            <w:tcW w:type="dxa" w:w="1949"/>
          </w:tcPr>
          <w:p>
            <w:r>
              <w:t>3 · Probable</w:t>
            </w:r>
          </w:p>
        </w:tc>
        <w:tc>
          <w:tcPr>
            <w:tcW w:type="dxa" w:w="1949"/>
          </w:tcPr>
          <w:p>
            <w:r>
              <w:t>4 · Quasi certain</w:t>
            </w:r>
          </w:p>
        </w:tc>
      </w:tr>
    </w:tbl>
    <w:p/>
    <w:p>
      <w:pPr>
        <w:pStyle w:val="Heading1"/>
      </w:pPr>
      <w:r>
        <w:t>7. Plan de traitement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Pour chaque risque à traiter : option retenue, mesures de l'annexe A, action, propriétaire et échéance.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Risque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Mesures (annexe A)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Propriétaire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Échéance</w:t>
            </w:r>
          </w:p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</w:tbl>
    <w:p/>
    <w:p>
      <w:pPr>
        <w:pStyle w:val="Heading1"/>
      </w:pPr>
      <w:r>
        <w:t>8. Risques résiduels et acceptation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Listez les risques résiduels. Ceux qui restent au-dessus du seuil doivent être acceptés formellement par leur propriétaire.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Risque résiduel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Niveau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Propriétaire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Décision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Date et signature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pStyle w:val="Heading1"/>
      </w:pPr>
      <w:r>
        <w:t>9. Suivi et prochaine revue</w:t>
      </w:r>
    </w:p>
    <w:p>
      <w:pPr>
        <w:spacing w:after="200"/>
      </w:pPr>
      <w:r>
        <w:rPr>
          <w:b/>
          <w:i/>
          <w:color w:val="0E7490"/>
        </w:rPr>
        <w:t xml:space="preserve">Consigne : </w:t>
      </w:r>
      <w:r>
        <w:rPr>
          <w:i/>
          <w:color w:val="4A5A70"/>
        </w:rPr>
        <w:t>Indiquez qui suit le plan de traitement, à quelle fréquence, et la date de la prochaine revue de l'analyse (au moins annuelle, et à chaque changement important).</w:t>
      </w:r>
    </w:p>
    <w:p>
      <w:r>
        <w:rPr>
          <w:i/>
          <w:sz w:val="18"/>
        </w:rPr>
        <w:t>Références : ISO/IEC 27001:2022 (6.1.2, 6.1.3, 8.2, 8.3) ; ISO/IEC 27005:2022 (articles 6 à 8).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Utilisation libre et gratuite. Merci de conserver la mention MG CYBER.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4A5A70"/>
        <w:sz w:val="16"/>
      </w:rPr>
      <w:t>MG CYBER · Mumin Guvendi · mumin-guvendi.com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2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2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d'analyse de risques</dc:title>
  <dc:subject/>
  <dc:creator>Mumin Guvendi (MG CYBER)</dc:creator>
  <cp:keywords/>
  <dc:description/>
  <cp:lastModifiedBy>Mumin Guvendi (MG CYBER)</cp:lastModifiedBy>
  <cp:revision>1</cp:revision>
  <dcterms:created xsi:type="dcterms:W3CDTF">2013-12-23T23:15:00Z</dcterms:created>
  <dcterms:modified xsi:type="dcterms:W3CDTF">2013-12-23T23:15:00Z</dcterms:modified>
  <cp:category/>
</cp:coreProperties>
</file>