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E7490"/>
          <w:sz w:val="22"/>
        </w:rPr>
        <w:t>MG CYBER</w:t>
      </w:r>
    </w:p>
    <w:p>
      <w:r>
        <w:rPr>
          <w:b/>
          <w:color w:val="0B1220"/>
          <w:sz w:val="56"/>
        </w:rPr>
        <w:t>Risk analizi raporu</w:t>
      </w:r>
    </w:p>
    <w:p>
      <w:r>
        <w:rPr>
          <w:color w:val="4A5A70"/>
          <w:sz w:val="26"/>
        </w:rPr>
        <w:t>Bilgi güvenliği · ISO/IEC 27005 yaklaşımı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Kuruluş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Kapsam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Sürüm</w:t>
            </w:r>
          </w:p>
        </w:tc>
        <w:tc>
          <w:tcPr>
            <w:tcW w:type="dxa" w:w="4873"/>
          </w:tcPr>
          <w:p>
            <w:r>
              <w:t>1.0</w:t>
            </w:r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Hazırlayan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Tarih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Onaylayan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  <w:shd w:val="clear" w:color="auto" w:fill="F4F6F9"/>
          </w:tcPr>
          <w:p>
            <w:r>
              <w:rPr>
                <w:b/>
              </w:rPr>
              <w:t>Gizlilik</w:t>
            </w:r>
          </w:p>
        </w:tc>
        <w:tc>
          <w:tcPr>
            <w:tcW w:type="dxa" w:w="4873"/>
          </w:tcPr>
          <w:p>
            <w:r>
              <w:t>Gizli</w:t>
            </w:r>
          </w:p>
        </w:tc>
      </w:tr>
    </w:tbl>
    <w:p/>
    <w:p>
      <w:r>
        <w:rPr>
          <w:i/>
          <w:color w:val="4A5A70"/>
          <w:sz w:val="17"/>
        </w:rPr>
        <w:t>Bu araç ISO/IEC 27001:2022 ve ISO/IEC 27005:2022 standartlarının yaklaşımını, telif hakkıyla korunan metinlerini kopyalamadan izler. Yalnızca önlem numaraları belirtilmiştir; adlar ve açıklamalar yeniden ifade edilmiştir. Resmi metin ISO'dan veya TSE'den temin edilebilir.</w:t>
      </w:r>
    </w:p>
    <w:p>
      <w:r>
        <w:br w:type="page"/>
      </w:r>
    </w:p>
    <w:p>
      <w:pPr>
        <w:pStyle w:val="Heading1"/>
      </w:pPr>
      <w:r>
        <w:t>1. Amaç ve kapsam</w:t>
      </w:r>
    </w:p>
    <w:p>
      <w:pPr>
        <w:spacing w:after="200"/>
      </w:pPr>
      <w:r>
        <w:rPr>
          <w:b/>
          <w:i/>
          <w:color w:val="0E7490"/>
        </w:rPr>
        <w:t xml:space="preserve">Yönerge: </w:t>
      </w:r>
      <w:r>
        <w:rPr>
          <w:i/>
          <w:color w:val="4A5A70"/>
        </w:rPr>
        <w:t>Bu analizin neden yapıldığını (sertifikasyon, yeni proje, yıllık gözden geçirme…) ve neyi kapsadığını birkaç satırda açıklayın: tesisler, faaliyetler, sistemler, hizmet sağlayıcılar. Kapsam dışı olanları ve nedenini belirtin.</w:t>
      </w:r>
    </w:p>
    <w:p>
      <w:pPr>
        <w:pStyle w:val="Heading1"/>
      </w:pPr>
      <w:r>
        <w:t>2. Yöntem ve kriterler</w:t>
      </w:r>
    </w:p>
    <w:p>
      <w:pPr>
        <w:spacing w:after="200"/>
      </w:pPr>
      <w:r>
        <w:rPr>
          <w:b/>
          <w:i/>
          <w:color w:val="0E7490"/>
        </w:rPr>
        <w:t xml:space="preserve">Yönerge: </w:t>
      </w:r>
      <w:r>
        <w:rPr>
          <w:i/>
          <w:color w:val="4A5A70"/>
        </w:rPr>
        <w:t>İzlenen yaklaşımı ve kullanılan ölçekleri açıklayın. Aşağıdaki tablolar MG CYBER aracının ölçeklerini içerir; gerekirse uyarlayın, ancak analiz boyunca değiştirmeyin.</w:t>
      </w:r>
    </w:p>
    <w:p>
      <w:pPr>
        <w:pStyle w:val="Heading2"/>
      </w:pPr>
      <w:r>
        <w:t>Olasılık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Değer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Ad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Anlamı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Nadir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Yalnızca istisnai durumlarda olabilir (10 yılda bir kereden az).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Olası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Olabilir (yaklaşık 3 ila 10 yılda bir).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Muhtemel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Büyük ihtimalle olacak (yaklaşık yılda bir).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Neredeyse kesin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Yılda birkaç kez oluyor veya olacak.</w:t>
            </w:r>
          </w:p>
        </w:tc>
      </w:tr>
    </w:tbl>
    <w:p/>
    <w:p>
      <w:pPr>
        <w:pStyle w:val="Heading2"/>
      </w:pPr>
      <w:r>
        <w:t>Etki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Değer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Ad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Anlamı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1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Küçük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Sınırlı rahatsızlık, müşteriler için görünür etki yok. Maliyet önemsiz.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2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Önemli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Birkaç saatlik aksama, birkaç müşteri etkilenir, maliyet kontrol edilebilir.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3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Ciddi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Kilit bir faaliyet birkaç gün durur, şikâyet veya yaptırım olabilir, itibar zedelenir.</w:t>
            </w:r>
          </w:p>
        </w:tc>
      </w:tr>
      <w:tr>
        <w:tc>
          <w:tcPr>
            <w:tcW w:type="dxa" w:w="3249"/>
          </w:tcPr>
          <w:p>
            <w:r>
              <w:rPr>
                <w:sz w:val="19"/>
              </w:rPr>
              <w:t>4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Kritik</w:t>
            </w:r>
          </w:p>
        </w:tc>
        <w:tc>
          <w:tcPr>
            <w:tcW w:type="dxa" w:w="3249"/>
          </w:tcPr>
          <w:p>
            <w:r>
              <w:rPr>
                <w:sz w:val="19"/>
              </w:rPr>
              <w:t>Şirketin varlığı tehlikede: uzun süreli duruş, ağır yaptırım, büyük müşteri kaybı.</w:t>
            </w:r>
          </w:p>
        </w:tc>
      </w:tr>
    </w:tbl>
    <w:p/>
    <w:p>
      <w:pPr>
        <w:pStyle w:val="Heading2"/>
      </w:pPr>
      <w:r>
        <w:t>Risk seviyeleri (olasılık × etki)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Seviye</w:t>
            </w:r>
          </w:p>
        </w:tc>
        <w:tc>
          <w:tcPr>
            <w:tcW w:type="dxa" w:w="4873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Aralık</w:t>
            </w:r>
          </w:p>
        </w:tc>
      </w:tr>
      <w:tr>
        <w:tc>
          <w:tcPr>
            <w:tcW w:type="dxa" w:w="4873"/>
            <w:shd w:val="clear" w:color="auto" w:fill="D5F3E4"/>
          </w:tcPr>
          <w:p>
            <w:r>
              <w:rPr>
                <w:sz w:val="19"/>
              </w:rPr>
              <w:t>Düşük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1 – 3</w:t>
            </w:r>
          </w:p>
        </w:tc>
      </w:tr>
      <w:tr>
        <w:tc>
          <w:tcPr>
            <w:tcW w:type="dxa" w:w="4873"/>
            <w:shd w:val="clear" w:color="auto" w:fill="FEF3C7"/>
          </w:tcPr>
          <w:p>
            <w:r>
              <w:rPr>
                <w:sz w:val="19"/>
              </w:rPr>
              <w:t>Orta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4 – 6</w:t>
            </w:r>
          </w:p>
        </w:tc>
      </w:tr>
      <w:tr>
        <w:tc>
          <w:tcPr>
            <w:tcW w:type="dxa" w:w="4873"/>
            <w:shd w:val="clear" w:color="auto" w:fill="FED7AA"/>
          </w:tcPr>
          <w:p>
            <w:r>
              <w:rPr>
                <w:sz w:val="19"/>
              </w:rPr>
              <w:t>Yüksek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8 – 9</w:t>
            </w:r>
          </w:p>
        </w:tc>
      </w:tr>
      <w:tr>
        <w:tc>
          <w:tcPr>
            <w:tcW w:type="dxa" w:w="4873"/>
            <w:shd w:val="clear" w:color="auto" w:fill="FECACA"/>
          </w:tcPr>
          <w:p>
            <w:r>
              <w:rPr>
                <w:sz w:val="19"/>
              </w:rPr>
              <w:t>Kritik</w:t>
            </w:r>
          </w:p>
        </w:tc>
        <w:tc>
          <w:tcPr>
            <w:tcW w:type="dxa" w:w="4873"/>
          </w:tcPr>
          <w:p>
            <w:r>
              <w:rPr>
                <w:sz w:val="19"/>
              </w:rPr>
              <w:t>12 – 16</w:t>
            </w:r>
          </w:p>
        </w:tc>
      </w:tr>
    </w:tbl>
    <w:p/>
    <w:p>
      <w:r>
        <w:t>Kabul eşiği (kabul edilen en yüksek seviye): ______</w:t>
      </w:r>
    </w:p>
    <w:p>
      <w:pPr>
        <w:pStyle w:val="Heading1"/>
      </w:pPr>
      <w:r>
        <w:t>3. İlgili taraflar ve gereksinimler</w:t>
      </w:r>
    </w:p>
    <w:p>
      <w:pPr>
        <w:spacing w:after="200"/>
      </w:pPr>
      <w:r>
        <w:rPr>
          <w:b/>
          <w:i/>
          <w:color w:val="0E7490"/>
        </w:rPr>
        <w:t xml:space="preserve">Yönerge: </w:t>
      </w:r>
      <w:r>
        <w:rPr>
          <w:i/>
          <w:color w:val="4A5A70"/>
        </w:rPr>
        <w:t>İlgili tarafları (müşteriler, makamlar, hissedarlar, çalışanlar, hizmet sağlayıcılar) ve güvenlik beklentilerini listeleyin: yasa ve yönetmelikler (KVKK, GDPR, NIS2…), sözleşmeler, taahhütler.</w:t>
      </w:r>
    </w:p>
    <w:p>
      <w:pPr>
        <w:pStyle w:val="Heading1"/>
      </w:pPr>
      <w:r>
        <w:t>4. İncelenen varlıklar</w:t>
      </w:r>
    </w:p>
    <w:p>
      <w:pPr>
        <w:spacing w:after="200"/>
      </w:pPr>
      <w:r>
        <w:rPr>
          <w:b/>
          <w:i/>
          <w:color w:val="0E7490"/>
        </w:rPr>
        <w:t xml:space="preserve">Yönerge: </w:t>
      </w:r>
      <w:r>
        <w:rPr>
          <w:i/>
          <w:color w:val="4A5A70"/>
        </w:rPr>
        <w:t>Varlıklar sayfasındaki listeyi sorumlularıyla birlikte aktarın.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Varlık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Tür</w:t>
            </w:r>
          </w:p>
        </w:tc>
        <w:tc>
          <w:tcPr>
            <w:tcW w:type="dxa" w:w="32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Sorumlu</w:t>
            </w:r>
          </w:p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/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</w:tbl>
    <w:p/>
    <w:p>
      <w:pPr>
        <w:pStyle w:val="Heading1"/>
      </w:pPr>
      <w:r>
        <w:t>5. Risk senaryoları ve değerlendirme</w:t>
      </w:r>
    </w:p>
    <w:p>
      <w:pPr>
        <w:spacing w:after="200"/>
      </w:pPr>
      <w:r>
        <w:rPr>
          <w:b/>
          <w:i/>
          <w:color w:val="0E7490"/>
        </w:rPr>
        <w:t xml:space="preserve">Yönerge: </w:t>
      </w:r>
      <w:r>
        <w:rPr>
          <w:i/>
          <w:color w:val="4A5A70"/>
        </w:rPr>
        <w:t>Kayıttaki senaryoları olasılık, etki ve seviyeleriyle aktarın. En yüksek üç ila beş riski yorumlayın.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Senaryo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Varlık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Olasılık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Etki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Seviye</w:t>
            </w:r>
          </w:p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</w:tbl>
    <w:p/>
    <w:p>
      <w:pPr>
        <w:pStyle w:val="Heading1"/>
      </w:pPr>
      <w:r>
        <w:t>6. Özet</w:t>
      </w:r>
    </w:p>
    <w:p>
      <w:pPr>
        <w:spacing w:after="200"/>
      </w:pPr>
      <w:r>
        <w:rPr>
          <w:b/>
          <w:i/>
          <w:color w:val="0E7490"/>
        </w:rPr>
        <w:t xml:space="preserve">Yönerge: </w:t>
      </w:r>
      <w:r>
        <w:rPr>
          <w:i/>
          <w:color w:val="4A5A70"/>
        </w:rPr>
        <w:t>İşleme öncesi ve sonrası risk matrisini ekleyin. Yönetim için temel çıkarımları birkaç cümleyle özetleyin.</w:t>
      </w:r>
    </w:p>
    <w:p>
      <w:pPr>
        <w:pStyle w:val="Heading2"/>
      </w:pPr>
      <w:r>
        <w:t>İşleme öncesi (risk sayısı)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t>4 · Kritik</w:t>
            </w:r>
          </w:p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  <w:tc>
          <w:tcPr>
            <w:tcW w:type="dxa" w:w="1949"/>
            <w:shd w:val="clear" w:color="auto" w:fill="FECACA"/>
          </w:tcPr>
          <w:p/>
        </w:tc>
        <w:tc>
          <w:tcPr>
            <w:tcW w:type="dxa" w:w="1949"/>
            <w:shd w:val="clear" w:color="auto" w:fill="FECACA"/>
          </w:tcPr>
          <w:p/>
        </w:tc>
      </w:tr>
      <w:tr>
        <w:tc>
          <w:tcPr>
            <w:tcW w:type="dxa" w:w="1949"/>
          </w:tcPr>
          <w:p>
            <w:r>
              <w:t>3 · Ciddi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  <w:tc>
          <w:tcPr>
            <w:tcW w:type="dxa" w:w="1949"/>
            <w:shd w:val="clear" w:color="auto" w:fill="FECACA"/>
          </w:tcPr>
          <w:p/>
        </w:tc>
      </w:tr>
      <w:tr>
        <w:tc>
          <w:tcPr>
            <w:tcW w:type="dxa" w:w="1949"/>
          </w:tcPr>
          <w:p>
            <w:r>
              <w:t>2 · Önemli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</w:tr>
      <w:tr>
        <w:tc>
          <w:tcPr>
            <w:tcW w:type="dxa" w:w="1949"/>
          </w:tcPr>
          <w:p>
            <w:r>
              <w:t>1 · Küçük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>
            <w:r>
              <w:t>1 · Nadir</w:t>
            </w:r>
          </w:p>
        </w:tc>
        <w:tc>
          <w:tcPr>
            <w:tcW w:type="dxa" w:w="1949"/>
          </w:tcPr>
          <w:p>
            <w:r>
              <w:t>2 · Olası</w:t>
            </w:r>
          </w:p>
        </w:tc>
        <w:tc>
          <w:tcPr>
            <w:tcW w:type="dxa" w:w="1949"/>
          </w:tcPr>
          <w:p>
            <w:r>
              <w:t>3 · Muhtemel</w:t>
            </w:r>
          </w:p>
        </w:tc>
        <w:tc>
          <w:tcPr>
            <w:tcW w:type="dxa" w:w="1949"/>
          </w:tcPr>
          <w:p>
            <w:r>
              <w:t>4 · Neredeyse kesin</w:t>
            </w:r>
          </w:p>
        </w:tc>
      </w:tr>
    </w:tbl>
    <w:p/>
    <w:p>
      <w:pPr>
        <w:pStyle w:val="Heading2"/>
      </w:pPr>
      <w:r>
        <w:t>İşleme sonrası (risk sayısı)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t>4 · Kritik</w:t>
            </w:r>
          </w:p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  <w:tc>
          <w:tcPr>
            <w:tcW w:type="dxa" w:w="1949"/>
            <w:shd w:val="clear" w:color="auto" w:fill="FECACA"/>
          </w:tcPr>
          <w:p/>
        </w:tc>
        <w:tc>
          <w:tcPr>
            <w:tcW w:type="dxa" w:w="1949"/>
            <w:shd w:val="clear" w:color="auto" w:fill="FECACA"/>
          </w:tcPr>
          <w:p/>
        </w:tc>
      </w:tr>
      <w:tr>
        <w:tc>
          <w:tcPr>
            <w:tcW w:type="dxa" w:w="1949"/>
          </w:tcPr>
          <w:p>
            <w:r>
              <w:t>3 · Ciddi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  <w:tc>
          <w:tcPr>
            <w:tcW w:type="dxa" w:w="1949"/>
            <w:shd w:val="clear" w:color="auto" w:fill="FECACA"/>
          </w:tcPr>
          <w:p/>
        </w:tc>
      </w:tr>
      <w:tr>
        <w:tc>
          <w:tcPr>
            <w:tcW w:type="dxa" w:w="1949"/>
          </w:tcPr>
          <w:p>
            <w:r>
              <w:t>2 · Önemli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F3C7"/>
          </w:tcPr>
          <w:p/>
        </w:tc>
        <w:tc>
          <w:tcPr>
            <w:tcW w:type="dxa" w:w="1949"/>
            <w:shd w:val="clear" w:color="auto" w:fill="FED7AA"/>
          </w:tcPr>
          <w:p/>
        </w:tc>
      </w:tr>
      <w:tr>
        <w:tc>
          <w:tcPr>
            <w:tcW w:type="dxa" w:w="1949"/>
          </w:tcPr>
          <w:p>
            <w:r>
              <w:t>1 · Küçük</w:t>
            </w:r>
          </w:p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D5F3E4"/>
          </w:tcPr>
          <w:p/>
        </w:tc>
        <w:tc>
          <w:tcPr>
            <w:tcW w:type="dxa" w:w="1949"/>
            <w:shd w:val="clear" w:color="auto" w:fill="FEF3C7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>
            <w:r>
              <w:t>1 · Nadir</w:t>
            </w:r>
          </w:p>
        </w:tc>
        <w:tc>
          <w:tcPr>
            <w:tcW w:type="dxa" w:w="1949"/>
          </w:tcPr>
          <w:p>
            <w:r>
              <w:t>2 · Olası</w:t>
            </w:r>
          </w:p>
        </w:tc>
        <w:tc>
          <w:tcPr>
            <w:tcW w:type="dxa" w:w="1949"/>
          </w:tcPr>
          <w:p>
            <w:r>
              <w:t>3 · Muhtemel</w:t>
            </w:r>
          </w:p>
        </w:tc>
        <w:tc>
          <w:tcPr>
            <w:tcW w:type="dxa" w:w="1949"/>
          </w:tcPr>
          <w:p>
            <w:r>
              <w:t>4 · Neredeyse kesin</w:t>
            </w:r>
          </w:p>
        </w:tc>
      </w:tr>
    </w:tbl>
    <w:p/>
    <w:p>
      <w:pPr>
        <w:pStyle w:val="Heading1"/>
      </w:pPr>
      <w:r>
        <w:t>7. İşleme planı</w:t>
      </w:r>
    </w:p>
    <w:p>
      <w:pPr>
        <w:spacing w:after="200"/>
      </w:pPr>
      <w:r>
        <w:rPr>
          <w:b/>
          <w:i/>
          <w:color w:val="0E7490"/>
        </w:rPr>
        <w:t xml:space="preserve">Yönerge: </w:t>
      </w:r>
      <w:r>
        <w:rPr>
          <w:i/>
          <w:color w:val="4A5A70"/>
        </w:rPr>
        <w:t>İşlenecek her risk için: seçilen seçenek, Ek A önlemleri, aksiyon, sorumlu ve son tarih.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4"/>
        <w:gridCol w:w="1624"/>
        <w:gridCol w:w="1624"/>
        <w:gridCol w:w="1624"/>
        <w:gridCol w:w="1624"/>
        <w:gridCol w:w="1624"/>
      </w:tblGrid>
      <w:tr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Seçenek</w:t>
            </w:r>
          </w:p>
        </w:tc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Önlemler (Ek A)</w:t>
            </w:r>
          </w:p>
        </w:tc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Aksiyon</w:t>
            </w:r>
          </w:p>
        </w:tc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Sorumlu</w:t>
            </w:r>
          </w:p>
        </w:tc>
        <w:tc>
          <w:tcPr>
            <w:tcW w:type="dxa" w:w="1624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Son tarih</w:t>
            </w:r>
          </w:p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  <w:tr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  <w:tc>
          <w:tcPr>
            <w:tcW w:type="dxa" w:w="1624"/>
          </w:tcPr>
          <w:p/>
        </w:tc>
      </w:tr>
    </w:tbl>
    <w:p/>
    <w:p>
      <w:pPr>
        <w:pStyle w:val="Heading1"/>
      </w:pPr>
      <w:r>
        <w:t>8. Artık riskler ve kabul</w:t>
      </w:r>
    </w:p>
    <w:p>
      <w:pPr>
        <w:spacing w:after="200"/>
      </w:pPr>
      <w:r>
        <w:rPr>
          <w:b/>
          <w:i/>
          <w:color w:val="0E7490"/>
        </w:rPr>
        <w:t xml:space="preserve">Yönerge: </w:t>
      </w:r>
      <w:r>
        <w:rPr>
          <w:i/>
          <w:color w:val="4A5A70"/>
        </w:rPr>
        <w:t>Artık riskleri listeleyin. Eşiğin üzerinde kalanlar sahipleri tarafından resmi olarak kabul edilmelidir.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Artık risk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Seviye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Sahibi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Karar</w:t>
            </w:r>
          </w:p>
        </w:tc>
        <w:tc>
          <w:tcPr>
            <w:tcW w:type="dxa" w:w="1949"/>
            <w:shd w:val="clear" w:color="auto" w:fill="0B1220"/>
          </w:tcPr>
          <w:p>
            <w:r/>
            <w:r>
              <w:rPr>
                <w:b/>
                <w:color w:val="FFFFFF"/>
                <w:sz w:val="19"/>
              </w:rPr>
              <w:t>Tarih ve imza</w:t>
            </w:r>
          </w:p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  <w:tr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  <w:tc>
          <w:tcPr>
            <w:tcW w:type="dxa" w:w="1949"/>
          </w:tcPr>
          <w:p/>
        </w:tc>
      </w:tr>
    </w:tbl>
    <w:p/>
    <w:p>
      <w:pPr>
        <w:pStyle w:val="Heading1"/>
      </w:pPr>
      <w:r>
        <w:t>9. Takip ve sonraki gözden geçirme</w:t>
      </w:r>
    </w:p>
    <w:p>
      <w:pPr>
        <w:spacing w:after="200"/>
      </w:pPr>
      <w:r>
        <w:rPr>
          <w:b/>
          <w:i/>
          <w:color w:val="0E7490"/>
        </w:rPr>
        <w:t xml:space="preserve">Yönerge: </w:t>
      </w:r>
      <w:r>
        <w:rPr>
          <w:i/>
          <w:color w:val="4A5A70"/>
        </w:rPr>
        <w:t>İşleme planını kimin, hangi sıklıkla takip ettiğini ve bir sonraki gözden geçirme tarihini belirtin (en az yılda bir ve her önemli değişiklikte).</w:t>
      </w:r>
    </w:p>
    <w:p>
      <w:r>
        <w:rPr>
          <w:i/>
          <w:sz w:val="18"/>
        </w:rPr>
        <w:t>Referanslar: ISO/IEC 27001:2022 (6.1.2, 6.1.3, 8.2, 8.3); ISO/IEC 27005:2022 (madde 6 - 8).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Ücretsiz kullanılabilir. Lütfen MG CYBER ibaresini koruyun.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4A5A70"/>
        <w:sz w:val="16"/>
      </w:rPr>
      <w:t>MG CYBER · Mumin Guvendi · mumin-guvendi.com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B12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B122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analizi raporu</dc:title>
  <dc:subject/>
  <dc:creator>Mumin Guvendi (MG CYBER)</dc:creator>
  <cp:keywords/>
  <dc:description/>
  <cp:lastModifiedBy>Mumin Guvendi (MG CYBER)</cp:lastModifiedBy>
  <cp:revision>1</cp:revision>
  <dcterms:created xsi:type="dcterms:W3CDTF">2013-12-23T23:15:00Z</dcterms:created>
  <dcterms:modified xsi:type="dcterms:W3CDTF">2013-12-23T23:15:00Z</dcterms:modified>
  <cp:category/>
</cp:coreProperties>
</file>