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490"/>
          <w:sz w:val="22"/>
        </w:rPr>
        <w:t>MG CYBER</w:t>
      </w:r>
    </w:p>
    <w:p>
      <w:r>
        <w:rPr>
          <w:b/>
          <w:color w:val="0B1220"/>
          <w:sz w:val="56"/>
        </w:rPr>
        <w:t>Risk assessment report</w:t>
      </w:r>
    </w:p>
    <w:p>
      <w:r>
        <w:rPr>
          <w:color w:val="4A5A70"/>
          <w:sz w:val="26"/>
        </w:rPr>
        <w:t>Information security · ISO/IEC 27005 approach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Organisation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4873"/>
          </w:tcPr>
          <w:p>
            <w:r>
              <w:t>1.0</w:t>
            </w:r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Written by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Classification</w:t>
            </w:r>
          </w:p>
        </w:tc>
        <w:tc>
          <w:tcPr>
            <w:tcW w:type="dxa" w:w="4873"/>
          </w:tcPr>
          <w:p>
            <w:r>
              <w:t>Confidential</w:t>
            </w:r>
          </w:p>
        </w:tc>
      </w:tr>
    </w:tbl>
    <w:p/>
    <w:p>
      <w:r>
        <w:rPr>
          <w:i/>
          <w:color w:val="4A5A70"/>
          <w:sz w:val="17"/>
        </w:rPr>
        <w:t>This tool follows the approach of ISO/IEC 27001:2022 and ISO/IEC 27005:2022 without reproducing their text, which is protected by copyright. Only control numbers are cited; names and explanations are reworded. The official text is available from ISO or your national standards body.</w:t>
      </w:r>
    </w:p>
    <w:p>
      <w:r>
        <w:br w:type="page"/>
      </w:r>
    </w:p>
    <w:p>
      <w:pPr>
        <w:pStyle w:val="Heading1"/>
      </w:pPr>
      <w:r>
        <w:t>1. Purpose and scope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Explain in a few lines why this assessment is carried out (certification, new project, annual review…) and what it covers: sites, activities, systems, providers. State what is excluded and why.</w:t>
      </w:r>
    </w:p>
    <w:p>
      <w:pPr>
        <w:pStyle w:val="Heading1"/>
      </w:pPr>
      <w:r>
        <w:t>2. Method and criteria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Describe the approach and the scales used. The tables below reproduce the scales of the MG CYBER tool; adapt them if needed, but keep them unchanged throughout the assessment.</w:t>
      </w:r>
    </w:p>
    <w:p>
      <w:pPr>
        <w:pStyle w:val="Heading2"/>
      </w:pPr>
      <w:r>
        <w:t>Likelihood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Label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Rare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Could happen only in exceptional circumstances (less than once in 10 years).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Possible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Could happen (about once every 3 to 10 years).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Likely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Will probably happen (about once a year).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Almost certain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Happens or will happen several times a year.</w:t>
            </w:r>
          </w:p>
        </w:tc>
      </w:tr>
    </w:tbl>
    <w:p/>
    <w:p>
      <w:pPr>
        <w:pStyle w:val="Heading2"/>
      </w:pPr>
      <w:r>
        <w:t>Impact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Label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Minor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Limited inconvenience, no visible effect on customers. Negligible cost.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Significant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few hours of disruption, a few customers affected, manageable cost.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Severe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 key activity stops for several days, possible complaint or penalty, reputational damage.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Critical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Business survival at stake: prolonged outage, heavy penalty, major customer loss.</w:t>
            </w:r>
          </w:p>
        </w:tc>
      </w:tr>
    </w:tbl>
    <w:p/>
    <w:p>
      <w:pPr>
        <w:pStyle w:val="Heading2"/>
      </w:pPr>
      <w:r>
        <w:t>Risk levels (likelihood × impact)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Range</w:t>
            </w:r>
          </w:p>
        </w:tc>
      </w:tr>
      <w:tr>
        <w:tc>
          <w:tcPr>
            <w:tcW w:type="dxa" w:w="4873"/>
            <w:shd w:val="clear" w:color="auto" w:fill="D5F3E4"/>
          </w:tcPr>
          <w:p>
            <w:r>
              <w:rPr>
                <w:sz w:val="19"/>
              </w:rPr>
              <w:t>Low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 – 3</w:t>
            </w:r>
          </w:p>
        </w:tc>
      </w:tr>
      <w:tr>
        <w:tc>
          <w:tcPr>
            <w:tcW w:type="dxa" w:w="4873"/>
            <w:shd w:val="clear" w:color="auto" w:fill="FEF3C7"/>
          </w:tcPr>
          <w:p>
            <w:r>
              <w:rPr>
                <w:sz w:val="19"/>
              </w:rPr>
              <w:t>Moderate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4 – 6</w:t>
            </w:r>
          </w:p>
        </w:tc>
      </w:tr>
      <w:tr>
        <w:tc>
          <w:tcPr>
            <w:tcW w:type="dxa" w:w="4873"/>
            <w:shd w:val="clear" w:color="auto" w:fill="FED7AA"/>
          </w:tcPr>
          <w:p>
            <w:r>
              <w:rPr>
                <w:sz w:val="19"/>
              </w:rPr>
              <w:t>High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8 – 9</w:t>
            </w:r>
          </w:p>
        </w:tc>
      </w:tr>
      <w:tr>
        <w:tc>
          <w:tcPr>
            <w:tcW w:type="dxa" w:w="4873"/>
            <w:shd w:val="clear" w:color="auto" w:fill="FECACA"/>
          </w:tcPr>
          <w:p>
            <w:r>
              <w:rPr>
                <w:sz w:val="19"/>
              </w:rPr>
              <w:t>Critical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12 – 16</w:t>
            </w:r>
          </w:p>
        </w:tc>
      </w:tr>
    </w:tbl>
    <w:p/>
    <w:p>
      <w:r>
        <w:t>Acceptance threshold (highest accepted level): ______</w:t>
      </w:r>
    </w:p>
    <w:p>
      <w:pPr>
        <w:pStyle w:val="Heading1"/>
      </w:pPr>
      <w:r>
        <w:t>3. Interested parties and requirements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List interested parties (customers, authorities, shareholders, staff, providers) and their security expectations: laws and regulations (GDPR, NIS2, DORA…), contracts, commitments.</w:t>
      </w:r>
    </w:p>
    <w:p>
      <w:pPr>
        <w:pStyle w:val="Heading1"/>
      </w:pPr>
      <w:r>
        <w:t>4. Assets in scope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Copy the list from the Assets sheet, with their owners.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Asset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pStyle w:val="Heading1"/>
      </w:pPr>
      <w:r>
        <w:t>5. Risk scenarios and assessment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Copy the scenarios from the register with likelihood, impact and level. Comment on the three to five highest risks.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Asset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Level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6. Summary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Insert or copy the risk matrix before and after treatment. Summarise the main lessons for management in a few sentences.</w:t>
      </w:r>
    </w:p>
    <w:p>
      <w:pPr>
        <w:pStyle w:val="Heading2"/>
      </w:pPr>
      <w:r>
        <w:t>Before treatment (number of risks)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Critical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Severe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Significant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Minor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Rare</w:t>
            </w:r>
          </w:p>
        </w:tc>
        <w:tc>
          <w:tcPr>
            <w:tcW w:type="dxa" w:w="1949"/>
          </w:tcPr>
          <w:p>
            <w:r>
              <w:t>2 · Possible</w:t>
            </w:r>
          </w:p>
        </w:tc>
        <w:tc>
          <w:tcPr>
            <w:tcW w:type="dxa" w:w="1949"/>
          </w:tcPr>
          <w:p>
            <w:r>
              <w:t>3 · Likely</w:t>
            </w:r>
          </w:p>
        </w:tc>
        <w:tc>
          <w:tcPr>
            <w:tcW w:type="dxa" w:w="1949"/>
          </w:tcPr>
          <w:p>
            <w:r>
              <w:t>4 · Almost certain</w:t>
            </w:r>
          </w:p>
        </w:tc>
      </w:tr>
    </w:tbl>
    <w:p/>
    <w:p>
      <w:pPr>
        <w:pStyle w:val="Heading2"/>
      </w:pPr>
      <w:r>
        <w:t>After treatment (number of risks)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Critical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Severe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Significant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Minor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Rare</w:t>
            </w:r>
          </w:p>
        </w:tc>
        <w:tc>
          <w:tcPr>
            <w:tcW w:type="dxa" w:w="1949"/>
          </w:tcPr>
          <w:p>
            <w:r>
              <w:t>2 · Possible</w:t>
            </w:r>
          </w:p>
        </w:tc>
        <w:tc>
          <w:tcPr>
            <w:tcW w:type="dxa" w:w="1949"/>
          </w:tcPr>
          <w:p>
            <w:r>
              <w:t>3 · Likely</w:t>
            </w:r>
          </w:p>
        </w:tc>
        <w:tc>
          <w:tcPr>
            <w:tcW w:type="dxa" w:w="1949"/>
          </w:tcPr>
          <w:p>
            <w:r>
              <w:t>4 · Almost certain</w:t>
            </w:r>
          </w:p>
        </w:tc>
      </w:tr>
    </w:tbl>
    <w:p/>
    <w:p>
      <w:pPr>
        <w:pStyle w:val="Heading1"/>
      </w:pPr>
      <w:r>
        <w:t>7. Treatment plan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For each risk to treat: chosen option, Annex A controls, action, owner and due date.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Controls (Annex A)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Due date</w:t>
            </w:r>
          </w:p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</w:tbl>
    <w:p/>
    <w:p>
      <w:pPr>
        <w:pStyle w:val="Heading1"/>
      </w:pPr>
      <w:r>
        <w:t>8. Residual risks and acceptance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List residual risks. Those still above the threshold must be formally accepted by their owner.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Residual risk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Decision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Date and signature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9. Follow-up and next review</w:t>
      </w:r>
    </w:p>
    <w:p>
      <w:pPr>
        <w:spacing w:after="200"/>
      </w:pPr>
      <w:r>
        <w:rPr>
          <w:b/>
          <w:i/>
          <w:color w:val="0E7490"/>
        </w:rPr>
        <w:t xml:space="preserve">Guidance: </w:t>
      </w:r>
      <w:r>
        <w:rPr>
          <w:i/>
          <w:color w:val="4A5A70"/>
        </w:rPr>
        <w:t>State who monitors the treatment plan, how often, and the date of the next review (at least yearly, and after any significant change).</w:t>
      </w:r>
    </w:p>
    <w:p>
      <w:r>
        <w:rPr>
          <w:i/>
          <w:sz w:val="18"/>
        </w:rPr>
        <w:t>References: ISO/IEC 27001:2022 (6.1.2, 6.1.3, 8.2, 8.3); ISO/IEC 27005:2022 (clauses 6 to 8).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to use. Please keep the MG CYBER credit.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4A5A70"/>
        <w:sz w:val="16"/>
      </w:rPr>
      <w:t>MG CYBER · Mumin Guvendi · mumin-guvendi.com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2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2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report</dc:title>
  <dc:subject/>
  <dc:creator>Mumin Guvendi (MG CYBER)</dc:creator>
  <cp:keywords/>
  <dc:description/>
  <cp:lastModifiedBy>Mumin Guvendi (MG CYBER)</cp:lastModifiedBy>
  <cp:revision>1</cp:revision>
  <dcterms:created xsi:type="dcterms:W3CDTF">2013-12-23T23:15:00Z</dcterms:created>
  <dcterms:modified xsi:type="dcterms:W3CDTF">2013-12-23T23:15:00Z</dcterms:modified>
  <cp:category/>
</cp:coreProperties>
</file>